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E9" w:rsidRPr="001C16E9" w:rsidRDefault="001C16E9" w:rsidP="001C16E9">
      <w:pPr>
        <w:pStyle w:val="1"/>
        <w:jc w:val="center"/>
        <w:rPr>
          <w:rFonts w:ascii="仿宋" w:eastAsia="仿宋" w:hAnsi="仿宋"/>
          <w:sz w:val="28"/>
          <w:szCs w:val="28"/>
        </w:rPr>
      </w:pPr>
      <w:r w:rsidRPr="001C16E9">
        <w:rPr>
          <w:rFonts w:ascii="仿宋" w:eastAsia="仿宋" w:hAnsi="仿宋"/>
          <w:sz w:val="28"/>
          <w:szCs w:val="28"/>
        </w:rPr>
        <w:t>超临界二氧化碳环境中等离子体的产生和应用</w:t>
      </w:r>
    </w:p>
    <w:p w:rsidR="001C16E9" w:rsidRPr="001C16E9" w:rsidRDefault="001C16E9" w:rsidP="001C16E9">
      <w:pPr>
        <w:ind w:firstLineChars="200" w:firstLine="560"/>
        <w:rPr>
          <w:rFonts w:ascii="仿宋" w:eastAsia="仿宋" w:hAnsi="仿宋"/>
          <w:sz w:val="28"/>
          <w:szCs w:val="28"/>
        </w:rPr>
      </w:pPr>
      <w:r w:rsidRPr="001C16E9">
        <w:rPr>
          <w:rFonts w:ascii="仿宋" w:eastAsia="仿宋" w:hAnsi="仿宋" w:hint="eastAsia"/>
          <w:sz w:val="28"/>
          <w:szCs w:val="28"/>
        </w:rPr>
        <w:t>项目简介：</w:t>
      </w:r>
    </w:p>
    <w:p w:rsidR="001C16E9" w:rsidRPr="001C16E9" w:rsidRDefault="001C16E9" w:rsidP="001C16E9">
      <w:pPr>
        <w:ind w:firstLineChars="200" w:firstLine="560"/>
        <w:rPr>
          <w:rFonts w:ascii="仿宋" w:eastAsia="仿宋" w:hAnsi="仿宋"/>
          <w:sz w:val="28"/>
          <w:szCs w:val="28"/>
        </w:rPr>
      </w:pPr>
      <w:r w:rsidRPr="001C16E9">
        <w:rPr>
          <w:rFonts w:ascii="仿宋" w:eastAsia="仿宋" w:hAnsi="仿宋" w:hint="eastAsia"/>
          <w:sz w:val="28"/>
          <w:szCs w:val="28"/>
        </w:rPr>
        <w:t>本项目曾获得</w:t>
      </w:r>
      <w:r w:rsidRPr="001C16E9">
        <w:rPr>
          <w:rFonts w:ascii="仿宋" w:eastAsia="仿宋" w:hAnsi="仿宋"/>
          <w:sz w:val="28"/>
          <w:szCs w:val="28"/>
        </w:rPr>
        <w:t>日本COE（Center of Excellence）项目“</w:t>
      </w:r>
      <w:r w:rsidRPr="001C16E9">
        <w:rPr>
          <w:rFonts w:ascii="仿宋" w:eastAsia="仿宋" w:hAnsi="仿宋" w:hint="eastAsia"/>
          <w:sz w:val="28"/>
          <w:szCs w:val="28"/>
        </w:rPr>
        <w:t>P</w:t>
      </w:r>
      <w:r w:rsidRPr="001C16E9">
        <w:rPr>
          <w:rFonts w:ascii="仿宋" w:eastAsia="仿宋" w:hAnsi="仿宋"/>
          <w:sz w:val="28"/>
          <w:szCs w:val="28"/>
        </w:rPr>
        <w:t xml:space="preserve">ower of </w:t>
      </w:r>
      <w:r w:rsidRPr="001C16E9">
        <w:rPr>
          <w:rFonts w:ascii="仿宋" w:eastAsia="仿宋" w:hAnsi="仿宋" w:hint="eastAsia"/>
          <w:sz w:val="28"/>
          <w:szCs w:val="28"/>
        </w:rPr>
        <w:t>P</w:t>
      </w:r>
      <w:r w:rsidRPr="001C16E9">
        <w:rPr>
          <w:rFonts w:ascii="仿宋" w:eastAsia="仿宋" w:hAnsi="仿宋"/>
          <w:sz w:val="28"/>
          <w:szCs w:val="28"/>
        </w:rPr>
        <w:t>ulse”课题</w:t>
      </w:r>
      <w:r w:rsidRPr="001C16E9">
        <w:rPr>
          <w:rFonts w:ascii="仿宋" w:eastAsia="仿宋" w:hAnsi="仿宋" w:hint="eastAsia"/>
          <w:sz w:val="28"/>
          <w:szCs w:val="28"/>
        </w:rPr>
        <w:t>资助。</w:t>
      </w:r>
    </w:p>
    <w:p w:rsidR="001C16E9" w:rsidRPr="001C16E9" w:rsidRDefault="001C16E9" w:rsidP="001C16E9">
      <w:pPr>
        <w:ind w:firstLineChars="200" w:firstLine="560"/>
        <w:rPr>
          <w:rFonts w:ascii="仿宋" w:eastAsia="仿宋" w:hAnsi="仿宋"/>
          <w:sz w:val="28"/>
          <w:szCs w:val="28"/>
        </w:rPr>
      </w:pPr>
      <w:r w:rsidRPr="001C16E9">
        <w:rPr>
          <w:rFonts w:ascii="仿宋" w:eastAsia="仿宋" w:hAnsi="仿宋"/>
          <w:sz w:val="28"/>
          <w:szCs w:val="28"/>
        </w:rPr>
        <w:t>超临界流体具有独特的流体性能，而等离子体放电时所产生的大量微粒子（离子，电子和自由基）具有很高的化学反应活性。这两者的结合必将显著提升化学反应效率或是产生新型化学反应。首先将甘油酯与甲醇溶解于超临界二氧化碳中，并将高压电场置于超临界二氧化碳环境中，在一定的高电压下产生等离子放电。研究表明，经过20000次的等离子放电后，甘油酯能够与甲醇发生甲醇解反应，从而产生脂肪酸甲酯，这是一种重要的生物柴油成分，通常是通过酸性或碱性催化剂催化甘油酯与甲醇反应产生。这意味着，在超临界CO2中产生的等离子体对于甘油酯醇解是一种新型的催化剂，可以取代常规的酸碱催化剂并且没有使用常规催化剂所引发的环境污染问题。</w:t>
      </w:r>
    </w:p>
    <w:p w:rsidR="001C16E9" w:rsidRPr="001C16E9" w:rsidRDefault="001C16E9" w:rsidP="001C16E9">
      <w:pPr>
        <w:ind w:firstLineChars="200" w:firstLine="560"/>
        <w:rPr>
          <w:rFonts w:ascii="仿宋" w:eastAsia="仿宋" w:hAnsi="仿宋"/>
          <w:sz w:val="28"/>
          <w:szCs w:val="28"/>
        </w:rPr>
      </w:pPr>
      <w:r w:rsidRPr="001C16E9">
        <w:rPr>
          <w:rFonts w:ascii="仿宋" w:eastAsia="仿宋" w:hAnsi="仿宋" w:hint="eastAsia"/>
          <w:sz w:val="28"/>
          <w:szCs w:val="28"/>
        </w:rPr>
        <w:t>另外，该技术可应用于处理油田废水、煤炭炼焦废水废气，是一种先进高效的环保与化工技术。</w:t>
      </w:r>
    </w:p>
    <w:p w:rsidR="008911F8" w:rsidRDefault="008911F8"/>
    <w:sectPr w:rsidR="008911F8"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6E9"/>
    <w:rsid w:val="001C16E9"/>
    <w:rsid w:val="008911F8"/>
    <w:rsid w:val="00A42E37"/>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E9"/>
    <w:pPr>
      <w:widowControl w:val="0"/>
      <w:jc w:val="both"/>
    </w:pPr>
    <w:rPr>
      <w:rFonts w:ascii="Times New Roman" w:hAnsi="Times New Roman"/>
      <w:kern w:val="2"/>
      <w:sz w:val="21"/>
      <w:szCs w:val="24"/>
    </w:rPr>
  </w:style>
  <w:style w:type="paragraph" w:styleId="1">
    <w:name w:val="heading 1"/>
    <w:basedOn w:val="a"/>
    <w:next w:val="a"/>
    <w:link w:val="1Char"/>
    <w:qFormat/>
    <w:locked/>
    <w:rsid w:val="001C16E9"/>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C16E9"/>
    <w:rPr>
      <w:rFonts w:ascii="Times New Roman" w:hAnsi="Times New Roman"/>
      <w:b/>
      <w:bCs/>
      <w:kern w:val="44"/>
      <w:sz w:val="32"/>
      <w:szCs w:val="44"/>
    </w:rPr>
  </w:style>
  <w:style w:type="character" w:styleId="a3">
    <w:name w:val="Hyperlink"/>
    <w:uiPriority w:val="99"/>
    <w:rsid w:val="001C16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2018-02-05T05:10:00Z</dcterms:created>
  <dcterms:modified xsi:type="dcterms:W3CDTF">2018-02-05T05:12:00Z</dcterms:modified>
</cp:coreProperties>
</file>