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0" w:rsidRPr="004C3560" w:rsidRDefault="004C3560" w:rsidP="004C3560">
      <w:pPr>
        <w:shd w:val="clear" w:color="auto" w:fill="FFFFFF"/>
        <w:jc w:val="center"/>
        <w:rPr>
          <w:rFonts w:asciiTheme="minorEastAsia" w:hAnsiTheme="minorEastAsia" w:cs="宋体"/>
          <w:sz w:val="28"/>
          <w:szCs w:val="28"/>
        </w:rPr>
      </w:pPr>
    </w:p>
    <w:p w:rsidR="004C3560" w:rsidRPr="004C3560" w:rsidRDefault="004C3560" w:rsidP="004C3560">
      <w:pPr>
        <w:shd w:val="clear" w:color="auto" w:fill="FFFFFF"/>
        <w:jc w:val="center"/>
        <w:rPr>
          <w:rFonts w:asciiTheme="minorEastAsia" w:hAnsiTheme="minorEastAsia" w:cs="宋体"/>
          <w:sz w:val="28"/>
          <w:szCs w:val="28"/>
        </w:rPr>
      </w:pPr>
      <w:r w:rsidRPr="004C3560">
        <w:rPr>
          <w:rFonts w:asciiTheme="minorEastAsia" w:hAnsiTheme="minorEastAsia" w:cs="宋体" w:hint="eastAsia"/>
          <w:sz w:val="28"/>
          <w:szCs w:val="28"/>
        </w:rPr>
        <w:t>焦化苯加氢</w:t>
      </w:r>
      <w:r w:rsidR="002C064C">
        <w:rPr>
          <w:rFonts w:asciiTheme="minorEastAsia" w:hAnsiTheme="minorEastAsia" w:cs="宋体" w:hint="eastAsia"/>
          <w:sz w:val="28"/>
          <w:szCs w:val="28"/>
        </w:rPr>
        <w:t>非芳烃尾油的高值化利用项目技术</w:t>
      </w:r>
    </w:p>
    <w:p w:rsidR="004C3560" w:rsidRPr="004C3560" w:rsidRDefault="004C3560" w:rsidP="004C3560">
      <w:pPr>
        <w:ind w:firstLineChars="200" w:firstLine="562"/>
        <w:jc w:val="left"/>
        <w:rPr>
          <w:rFonts w:asciiTheme="minorEastAsia" w:hAnsiTheme="minorEastAsia"/>
          <w:b/>
          <w:sz w:val="28"/>
          <w:szCs w:val="28"/>
          <w:shd w:val="pct15" w:color="auto" w:fill="FFFFFF"/>
        </w:rPr>
      </w:pPr>
    </w:p>
    <w:p w:rsidR="004C3560" w:rsidRPr="004C3560" w:rsidRDefault="004C3560" w:rsidP="004C3560">
      <w:pPr>
        <w:ind w:firstLineChars="200" w:firstLine="560"/>
        <w:rPr>
          <w:rFonts w:asciiTheme="minorEastAsia" w:hAnsiTheme="minorEastAsia" w:cs="Times New Roman"/>
          <w:sz w:val="28"/>
          <w:szCs w:val="28"/>
        </w:rPr>
      </w:pPr>
      <w:r w:rsidRPr="004C3560">
        <w:rPr>
          <w:rFonts w:asciiTheme="minorEastAsia" w:hAnsiTheme="minorEastAsia" w:hint="eastAsia"/>
          <w:sz w:val="28"/>
          <w:szCs w:val="28"/>
        </w:rPr>
        <w:t>项目简介：我公司与中科院合作，从苯加氢残油（非芳烃）中精制提取纯苯和环戊烷全套技术。</w:t>
      </w:r>
    </w:p>
    <w:p w:rsidR="004C3560" w:rsidRPr="004C3560" w:rsidRDefault="004C3560" w:rsidP="004C3560">
      <w:pPr>
        <w:numPr>
          <w:ilvl w:val="0"/>
          <w:numId w:val="1"/>
        </w:numPr>
        <w:shd w:val="clear" w:color="auto" w:fill="FFFFFF"/>
        <w:spacing w:line="360" w:lineRule="auto"/>
        <w:rPr>
          <w:rFonts w:asciiTheme="minorEastAsia" w:hAnsiTheme="minorEastAsia" w:cs="Times New Roman"/>
          <w:sz w:val="28"/>
          <w:szCs w:val="28"/>
        </w:rPr>
      </w:pPr>
      <w:r w:rsidRPr="004C3560">
        <w:rPr>
          <w:rFonts w:asciiTheme="minorEastAsia" w:hAnsiTheme="minorEastAsia" w:cs="宋体" w:hint="eastAsia"/>
          <w:sz w:val="28"/>
          <w:szCs w:val="28"/>
        </w:rPr>
        <w:t>项目背景</w:t>
      </w:r>
    </w:p>
    <w:p w:rsidR="004C3560" w:rsidRPr="004C3560" w:rsidRDefault="004C3560" w:rsidP="004C3560">
      <w:pPr>
        <w:shd w:val="clear" w:color="auto" w:fill="FFFFFF"/>
        <w:spacing w:line="360" w:lineRule="auto"/>
        <w:rPr>
          <w:rFonts w:asciiTheme="minorEastAsia" w:hAnsiTheme="minorEastAsia" w:cs="Times New Roman"/>
          <w:sz w:val="28"/>
          <w:szCs w:val="28"/>
        </w:rPr>
      </w:pPr>
      <w:r w:rsidRPr="004C3560">
        <w:rPr>
          <w:rFonts w:asciiTheme="minorEastAsia" w:hAnsiTheme="minorEastAsia" w:cs="Times New Roman"/>
          <w:sz w:val="28"/>
          <w:szCs w:val="28"/>
        </w:rPr>
        <w:t xml:space="preserve">    </w:t>
      </w:r>
      <w:r w:rsidRPr="004C3560">
        <w:rPr>
          <w:rFonts w:asciiTheme="minorEastAsia" w:hAnsiTheme="minorEastAsia" w:cs="宋体" w:hint="eastAsia"/>
          <w:sz w:val="28"/>
          <w:szCs w:val="28"/>
        </w:rPr>
        <w:t>随着当前环保意识的增强，如何实现化工资源的高效利用势必成为各企业发展的重要环节。焦化粗苯催化加氢精制法就是将焦化粗苯中含硫杂质经过加氢而生成相应的碳氢化合物和硫化氢，使含氮杂质氢化生成氨和碳氢化合物，含氧的杂质因加氢而生成碳氢化合物和水，不饱和化合物被加氢饱和，从而达到净化的目的。自上世纪</w:t>
      </w:r>
      <w:r w:rsidRPr="004C3560">
        <w:rPr>
          <w:rFonts w:asciiTheme="minorEastAsia" w:hAnsiTheme="minorEastAsia" w:cs="Times New Roman"/>
          <w:sz w:val="28"/>
          <w:szCs w:val="28"/>
        </w:rPr>
        <w:t>90</w:t>
      </w:r>
      <w:r w:rsidRPr="004C3560">
        <w:rPr>
          <w:rFonts w:asciiTheme="minorEastAsia" w:hAnsiTheme="minorEastAsia" w:cs="宋体" w:hint="eastAsia"/>
          <w:sz w:val="28"/>
          <w:szCs w:val="28"/>
        </w:rPr>
        <w:t>年代在我国石焦集团、上海宝钢集团等公司应用推广以来，尤其是石焦集团引进的德国</w:t>
      </w:r>
      <w:r w:rsidRPr="004C3560">
        <w:rPr>
          <w:rFonts w:asciiTheme="minorEastAsia" w:hAnsiTheme="minorEastAsia" w:cs="Times New Roman"/>
          <w:sz w:val="28"/>
          <w:szCs w:val="28"/>
        </w:rPr>
        <w:t>K-K</w:t>
      </w:r>
      <w:r w:rsidRPr="004C3560">
        <w:rPr>
          <w:rFonts w:asciiTheme="minorEastAsia" w:hAnsiTheme="minorEastAsia" w:cs="宋体" w:hint="eastAsia"/>
          <w:sz w:val="28"/>
          <w:szCs w:val="28"/>
        </w:rPr>
        <w:t>法年产</w:t>
      </w:r>
      <w:r w:rsidRPr="004C3560">
        <w:rPr>
          <w:rFonts w:asciiTheme="minorEastAsia" w:hAnsiTheme="minorEastAsia" w:cs="Times New Roman"/>
          <w:sz w:val="28"/>
          <w:szCs w:val="28"/>
        </w:rPr>
        <w:t>5</w:t>
      </w:r>
      <w:r w:rsidRPr="004C3560">
        <w:rPr>
          <w:rFonts w:asciiTheme="minorEastAsia" w:hAnsiTheme="minorEastAsia" w:cs="宋体" w:hint="eastAsia"/>
          <w:sz w:val="28"/>
          <w:szCs w:val="28"/>
        </w:rPr>
        <w:t>万</w:t>
      </w:r>
      <w:r w:rsidRPr="004C3560">
        <w:rPr>
          <w:rFonts w:asciiTheme="minorEastAsia" w:hAnsiTheme="minorEastAsia" w:cs="Times New Roman"/>
          <w:sz w:val="28"/>
          <w:szCs w:val="28"/>
        </w:rPr>
        <w:t>/</w:t>
      </w:r>
      <w:r w:rsidRPr="004C3560">
        <w:rPr>
          <w:rFonts w:asciiTheme="minorEastAsia" w:hAnsiTheme="minorEastAsia" w:cs="宋体" w:hint="eastAsia"/>
          <w:sz w:val="28"/>
          <w:szCs w:val="28"/>
        </w:rPr>
        <w:t>吨加氢精制工艺自</w:t>
      </w:r>
      <w:r w:rsidRPr="004C3560">
        <w:rPr>
          <w:rFonts w:asciiTheme="minorEastAsia" w:hAnsiTheme="minorEastAsia" w:cs="Times New Roman"/>
          <w:sz w:val="28"/>
          <w:szCs w:val="28"/>
        </w:rPr>
        <w:t>1997</w:t>
      </w:r>
      <w:r w:rsidRPr="004C3560">
        <w:rPr>
          <w:rFonts w:asciiTheme="minorEastAsia" w:hAnsiTheme="minorEastAsia" w:cs="宋体" w:hint="eastAsia"/>
          <w:sz w:val="28"/>
          <w:szCs w:val="28"/>
        </w:rPr>
        <w:t>年开车成功以来，运行十分良好，得到了外方的认可。近年来随着国内科研院所及相关设计单位如西南化工研究、浙江美阳院、中国科学院、天津大学、鞍山焦耐院和上海宝钢设计院等单位投入较大的研发精力对其工艺进行消化、吸收和创新，不仅从加氢催化剂、反应器优化，分离工艺优化设计和全工艺资源利用等方面均取得了突破性进展，从而带动国内近</w:t>
      </w:r>
      <w:r w:rsidRPr="004C3560">
        <w:rPr>
          <w:rFonts w:asciiTheme="minorEastAsia" w:hAnsiTheme="minorEastAsia" w:cs="Times New Roman"/>
          <w:sz w:val="28"/>
          <w:szCs w:val="28"/>
        </w:rPr>
        <w:t>40</w:t>
      </w:r>
      <w:r w:rsidRPr="004C3560">
        <w:rPr>
          <w:rFonts w:asciiTheme="minorEastAsia" w:hAnsiTheme="minorEastAsia" w:cs="宋体" w:hint="eastAsia"/>
          <w:sz w:val="28"/>
          <w:szCs w:val="28"/>
        </w:rPr>
        <w:t>余家企业投入到粗苯加氢的生产中。截止</w:t>
      </w:r>
      <w:r w:rsidRPr="004C3560">
        <w:rPr>
          <w:rFonts w:asciiTheme="minorEastAsia" w:hAnsiTheme="minorEastAsia" w:cs="Times New Roman"/>
          <w:sz w:val="28"/>
          <w:szCs w:val="28"/>
        </w:rPr>
        <w:t>2013</w:t>
      </w:r>
      <w:r w:rsidRPr="004C3560">
        <w:rPr>
          <w:rFonts w:asciiTheme="minorEastAsia" w:hAnsiTheme="minorEastAsia" w:cs="宋体" w:hint="eastAsia"/>
          <w:sz w:val="28"/>
          <w:szCs w:val="28"/>
        </w:rPr>
        <w:t>年底，国内在建粗苯加氢项目约</w:t>
      </w:r>
      <w:r w:rsidRPr="004C3560">
        <w:rPr>
          <w:rFonts w:asciiTheme="minorEastAsia" w:hAnsiTheme="minorEastAsia" w:cs="Times New Roman"/>
          <w:sz w:val="28"/>
          <w:szCs w:val="28"/>
        </w:rPr>
        <w:t>570</w:t>
      </w:r>
      <w:r w:rsidRPr="004C3560">
        <w:rPr>
          <w:rFonts w:asciiTheme="minorEastAsia" w:hAnsiTheme="minorEastAsia" w:cs="宋体" w:hint="eastAsia"/>
          <w:sz w:val="28"/>
          <w:szCs w:val="28"/>
        </w:rPr>
        <w:t>万吨</w:t>
      </w:r>
      <w:r w:rsidRPr="004C3560">
        <w:rPr>
          <w:rFonts w:asciiTheme="minorEastAsia" w:hAnsiTheme="minorEastAsia" w:cs="Times New Roman"/>
          <w:sz w:val="28"/>
          <w:szCs w:val="28"/>
        </w:rPr>
        <w:t>/</w:t>
      </w:r>
      <w:r w:rsidRPr="004C3560">
        <w:rPr>
          <w:rFonts w:asciiTheme="minorEastAsia" w:hAnsiTheme="minorEastAsia" w:cs="宋体" w:hint="eastAsia"/>
          <w:sz w:val="28"/>
          <w:szCs w:val="28"/>
        </w:rPr>
        <w:t>年，已投产约</w:t>
      </w:r>
      <w:r w:rsidRPr="004C3560">
        <w:rPr>
          <w:rFonts w:asciiTheme="minorEastAsia" w:hAnsiTheme="minorEastAsia" w:cs="Times New Roman"/>
          <w:sz w:val="28"/>
          <w:szCs w:val="28"/>
        </w:rPr>
        <w:t>530</w:t>
      </w:r>
      <w:r w:rsidRPr="004C3560">
        <w:rPr>
          <w:rFonts w:asciiTheme="minorEastAsia" w:hAnsiTheme="minorEastAsia" w:cs="宋体" w:hint="eastAsia"/>
          <w:sz w:val="28"/>
          <w:szCs w:val="28"/>
        </w:rPr>
        <w:t>万吨</w:t>
      </w:r>
      <w:r w:rsidRPr="004C3560">
        <w:rPr>
          <w:rFonts w:asciiTheme="minorEastAsia" w:hAnsiTheme="minorEastAsia" w:cs="Times New Roman"/>
          <w:sz w:val="28"/>
          <w:szCs w:val="28"/>
        </w:rPr>
        <w:t>/</w:t>
      </w:r>
      <w:r w:rsidRPr="004C3560">
        <w:rPr>
          <w:rFonts w:asciiTheme="minorEastAsia" w:hAnsiTheme="minorEastAsia" w:cs="宋体" w:hint="eastAsia"/>
          <w:sz w:val="28"/>
          <w:szCs w:val="28"/>
        </w:rPr>
        <w:t>年，显然目前国内的产能相对比较过剩，因此如何在现有焦化粗苯加氢的装置优化改造及系统资源高效利用等方面进行改进是各生产企业提升核心竞争</w:t>
      </w:r>
      <w:r w:rsidRPr="004C3560">
        <w:rPr>
          <w:rFonts w:asciiTheme="minorEastAsia" w:hAnsiTheme="minorEastAsia" w:cs="宋体" w:hint="eastAsia"/>
          <w:sz w:val="28"/>
          <w:szCs w:val="28"/>
        </w:rPr>
        <w:lastRenderedPageBreak/>
        <w:t>力的关键。</w:t>
      </w:r>
    </w:p>
    <w:p w:rsidR="004C3560" w:rsidRPr="004C3560" w:rsidRDefault="004C3560" w:rsidP="004C3560">
      <w:pPr>
        <w:shd w:val="clear" w:color="auto" w:fill="FFFFFF"/>
        <w:spacing w:line="360" w:lineRule="auto"/>
        <w:ind w:firstLineChars="275" w:firstLine="770"/>
        <w:rPr>
          <w:rFonts w:asciiTheme="minorEastAsia" w:hAnsiTheme="minorEastAsia" w:cs="Times New Roman"/>
          <w:sz w:val="28"/>
          <w:szCs w:val="28"/>
        </w:rPr>
      </w:pPr>
      <w:r w:rsidRPr="004C3560">
        <w:rPr>
          <w:rFonts w:asciiTheme="minorEastAsia" w:hAnsiTheme="minorEastAsia" w:cs="宋体" w:hint="eastAsia"/>
          <w:sz w:val="28"/>
          <w:szCs w:val="28"/>
        </w:rPr>
        <w:t>焦化加氢非芳烃尾油为焦化粗苯加氢反应后在分离单元中从萃取精馏塔塔顶排出的非芳烃，主要</w:t>
      </w:r>
      <w:r w:rsidRPr="004C3560">
        <w:rPr>
          <w:rFonts w:asciiTheme="minorEastAsia" w:hAnsiTheme="minorEastAsia" w:cs="Times New Roman"/>
          <w:sz w:val="28"/>
          <w:szCs w:val="28"/>
        </w:rPr>
        <w:t>15-20%</w:t>
      </w:r>
      <w:r w:rsidRPr="004C3560">
        <w:rPr>
          <w:rFonts w:asciiTheme="minorEastAsia" w:hAnsiTheme="minorEastAsia" w:cs="宋体" w:hint="eastAsia"/>
          <w:sz w:val="28"/>
          <w:szCs w:val="28"/>
        </w:rPr>
        <w:t>的环戊烷、</w:t>
      </w:r>
      <w:r w:rsidRPr="004C3560">
        <w:rPr>
          <w:rFonts w:asciiTheme="minorEastAsia" w:hAnsiTheme="minorEastAsia" w:cs="Times New Roman"/>
          <w:sz w:val="28"/>
          <w:szCs w:val="28"/>
        </w:rPr>
        <w:t>2-4%</w:t>
      </w:r>
      <w:r w:rsidRPr="004C3560">
        <w:rPr>
          <w:rFonts w:asciiTheme="minorEastAsia" w:hAnsiTheme="minorEastAsia" w:cs="宋体" w:hint="eastAsia"/>
          <w:sz w:val="28"/>
          <w:szCs w:val="28"/>
        </w:rPr>
        <w:t>的正戊烷和异戊烷、</w:t>
      </w:r>
      <w:r w:rsidRPr="004C3560">
        <w:rPr>
          <w:rFonts w:asciiTheme="minorEastAsia" w:hAnsiTheme="minorEastAsia" w:cs="Times New Roman"/>
          <w:sz w:val="28"/>
          <w:szCs w:val="28"/>
        </w:rPr>
        <w:t>20-30%</w:t>
      </w:r>
      <w:r w:rsidRPr="004C3560">
        <w:rPr>
          <w:rFonts w:asciiTheme="minorEastAsia" w:hAnsiTheme="minorEastAsia" w:cs="宋体" w:hint="eastAsia"/>
          <w:sz w:val="28"/>
          <w:szCs w:val="28"/>
        </w:rPr>
        <w:t>的苯、其余主要为</w:t>
      </w:r>
      <w:r w:rsidRPr="004C3560">
        <w:rPr>
          <w:rFonts w:asciiTheme="minorEastAsia" w:hAnsiTheme="minorEastAsia" w:cs="Times New Roman"/>
          <w:sz w:val="28"/>
          <w:szCs w:val="28"/>
        </w:rPr>
        <w:t>C5-C7</w:t>
      </w:r>
      <w:r w:rsidRPr="004C3560">
        <w:rPr>
          <w:rFonts w:asciiTheme="minorEastAsia" w:hAnsiTheme="minorEastAsia" w:cs="宋体" w:hint="eastAsia"/>
          <w:sz w:val="28"/>
          <w:szCs w:val="28"/>
        </w:rPr>
        <w:t>的正构烷烃等高附加值化学品。根据调研各企业根据其粗苯原料、加氢反应条件、分离工艺的不同，其组分基本变化不大，只是其含量略微变化。经统计可知，其产量约占粗苯处理量的</w:t>
      </w:r>
      <w:r w:rsidRPr="004C3560">
        <w:rPr>
          <w:rFonts w:asciiTheme="minorEastAsia" w:hAnsiTheme="minorEastAsia" w:cs="Times New Roman"/>
          <w:sz w:val="28"/>
          <w:szCs w:val="28"/>
        </w:rPr>
        <w:t>4-6%</w:t>
      </w:r>
      <w:r w:rsidRPr="004C3560">
        <w:rPr>
          <w:rFonts w:asciiTheme="minorEastAsia" w:hAnsiTheme="minorEastAsia" w:cs="宋体" w:hint="eastAsia"/>
          <w:sz w:val="28"/>
          <w:szCs w:val="28"/>
        </w:rPr>
        <w:t>，目前各厂家均将其作为廉价的溶剂油或汽油调价剂进行销售。根据目前以上国内投产的焦化苯加氢规模，则每年会产生约</w:t>
      </w:r>
      <w:r w:rsidRPr="004C3560">
        <w:rPr>
          <w:rFonts w:asciiTheme="minorEastAsia" w:hAnsiTheme="minorEastAsia" w:cs="Times New Roman"/>
          <w:sz w:val="28"/>
          <w:szCs w:val="28"/>
        </w:rPr>
        <w:t>25-30</w:t>
      </w:r>
      <w:r w:rsidRPr="004C3560">
        <w:rPr>
          <w:rFonts w:asciiTheme="minorEastAsia" w:hAnsiTheme="minorEastAsia" w:cs="宋体" w:hint="eastAsia"/>
          <w:sz w:val="28"/>
          <w:szCs w:val="28"/>
        </w:rPr>
        <w:t>万吨的焦化非芳烃。</w:t>
      </w:r>
    </w:p>
    <w:p w:rsidR="004C3560" w:rsidRPr="004C3560" w:rsidRDefault="004C3560" w:rsidP="004C3560">
      <w:pPr>
        <w:shd w:val="clear" w:color="auto" w:fill="FFFFFF"/>
        <w:spacing w:line="360" w:lineRule="auto"/>
        <w:ind w:firstLineChars="250" w:firstLine="700"/>
        <w:rPr>
          <w:rFonts w:asciiTheme="minorEastAsia" w:hAnsiTheme="minorEastAsia" w:cs="Times New Roman"/>
          <w:sz w:val="28"/>
          <w:szCs w:val="28"/>
        </w:rPr>
      </w:pPr>
      <w:r w:rsidRPr="004C3560">
        <w:rPr>
          <w:rFonts w:asciiTheme="minorEastAsia" w:hAnsiTheme="minorEastAsia" w:cs="宋体" w:hint="eastAsia"/>
          <w:sz w:val="28"/>
          <w:szCs w:val="28"/>
        </w:rPr>
        <w:t>针对此非芳烃的综合利用，国内相关研究单元就投入较大的精力、人力和物力进行大量的研究，其目的就是将非芳烃的环戊烷、苯等有价值化合物提纯分离，但目前国内未见工业化的应用报道。</w:t>
      </w:r>
    </w:p>
    <w:p w:rsidR="004C3560" w:rsidRPr="004C3560" w:rsidRDefault="004C3560" w:rsidP="004C3560">
      <w:pPr>
        <w:numPr>
          <w:ilvl w:val="0"/>
          <w:numId w:val="1"/>
        </w:numPr>
        <w:shd w:val="clear" w:color="auto" w:fill="FFFFFF"/>
        <w:spacing w:line="360" w:lineRule="auto"/>
        <w:rPr>
          <w:rFonts w:asciiTheme="minorEastAsia" w:hAnsiTheme="minorEastAsia" w:cs="Times New Roman"/>
          <w:sz w:val="28"/>
          <w:szCs w:val="28"/>
        </w:rPr>
      </w:pPr>
      <w:r w:rsidRPr="004C3560">
        <w:rPr>
          <w:rFonts w:asciiTheme="minorEastAsia" w:hAnsiTheme="minorEastAsia" w:cs="宋体" w:hint="eastAsia"/>
          <w:sz w:val="28"/>
          <w:szCs w:val="28"/>
        </w:rPr>
        <w:t>工艺可行性</w:t>
      </w:r>
    </w:p>
    <w:p w:rsidR="004C3560" w:rsidRPr="004C3560" w:rsidRDefault="004C3560" w:rsidP="004C3560">
      <w:pPr>
        <w:shd w:val="clear" w:color="auto" w:fill="FFFFFF"/>
        <w:spacing w:line="360" w:lineRule="auto"/>
        <w:ind w:firstLineChars="200" w:firstLine="560"/>
        <w:rPr>
          <w:rFonts w:asciiTheme="minorEastAsia" w:hAnsiTheme="minorEastAsia" w:cs="Times New Roman"/>
          <w:sz w:val="28"/>
          <w:szCs w:val="28"/>
        </w:rPr>
      </w:pPr>
      <w:r w:rsidRPr="004C3560">
        <w:rPr>
          <w:rFonts w:asciiTheme="minorEastAsia" w:hAnsiTheme="minorEastAsia" w:cs="Times New Roman"/>
          <w:sz w:val="28"/>
          <w:szCs w:val="28"/>
        </w:rPr>
        <w:t xml:space="preserve"> </w:t>
      </w:r>
      <w:r w:rsidRPr="004C3560">
        <w:rPr>
          <w:rFonts w:asciiTheme="minorEastAsia" w:hAnsiTheme="minorEastAsia" w:cs="宋体" w:hint="eastAsia"/>
          <w:sz w:val="28"/>
          <w:szCs w:val="28"/>
        </w:rPr>
        <w:t>在焦化苯加氢装置的萃取精馏单元就是采用环丁砜溶剂或</w:t>
      </w:r>
      <w:r w:rsidRPr="004C3560">
        <w:rPr>
          <w:rFonts w:asciiTheme="minorEastAsia" w:hAnsiTheme="minorEastAsia" w:cs="Times New Roman"/>
          <w:sz w:val="28"/>
          <w:szCs w:val="28"/>
        </w:rPr>
        <w:t>N-</w:t>
      </w:r>
      <w:r w:rsidRPr="004C3560">
        <w:rPr>
          <w:rFonts w:asciiTheme="minorEastAsia" w:hAnsiTheme="minorEastAsia" w:cs="宋体" w:hint="eastAsia"/>
          <w:sz w:val="28"/>
          <w:szCs w:val="28"/>
        </w:rPr>
        <w:t>甲酰吗啉做为溶剂进行萃取精馏分离的过程，塔顶排出非芳烃，塔底为富含苯、甲苯和环丁砜的富溶剂，经溶剂回收塔单元回收后，萃取剂循环使用，后续分离纯化苯、甲苯产品。根据在目前的萃取精馏工艺中，为保证塔顶贫溶剂不含有非芳烃的组分，需要塔顶排出含有大量苯的非芳烃，造成了苯产品的回收率下降。但是由于当前选用的萃取剂均为环丁砜、</w:t>
      </w:r>
      <w:r w:rsidRPr="004C3560">
        <w:rPr>
          <w:rFonts w:asciiTheme="minorEastAsia" w:hAnsiTheme="minorEastAsia" w:cs="Times New Roman"/>
          <w:sz w:val="28"/>
          <w:szCs w:val="28"/>
        </w:rPr>
        <w:t>N-</w:t>
      </w:r>
      <w:r w:rsidRPr="004C3560">
        <w:rPr>
          <w:rFonts w:asciiTheme="minorEastAsia" w:hAnsiTheme="minorEastAsia" w:cs="宋体" w:hint="eastAsia"/>
          <w:sz w:val="28"/>
          <w:szCs w:val="28"/>
        </w:rPr>
        <w:t>甲酰吗啉或</w:t>
      </w:r>
      <w:r w:rsidRPr="004C3560">
        <w:rPr>
          <w:rFonts w:asciiTheme="minorEastAsia" w:hAnsiTheme="minorEastAsia" w:cs="Times New Roman"/>
          <w:sz w:val="28"/>
          <w:szCs w:val="28"/>
        </w:rPr>
        <w:t>N-</w:t>
      </w:r>
      <w:r w:rsidRPr="004C3560">
        <w:rPr>
          <w:rFonts w:asciiTheme="minorEastAsia" w:hAnsiTheme="minorEastAsia" w:cs="宋体" w:hint="eastAsia"/>
          <w:sz w:val="28"/>
          <w:szCs w:val="28"/>
        </w:rPr>
        <w:t>甲基吡咯烷酮等高沸点溶剂的单一溶剂，无法实现非芳烃和苯、甲苯的完全切割分离。针对单一溶剂环丁砜或、</w:t>
      </w:r>
      <w:r w:rsidRPr="004C3560">
        <w:rPr>
          <w:rFonts w:asciiTheme="minorEastAsia" w:hAnsiTheme="minorEastAsia" w:cs="Times New Roman"/>
          <w:sz w:val="28"/>
          <w:szCs w:val="28"/>
        </w:rPr>
        <w:t>N-</w:t>
      </w:r>
      <w:r w:rsidRPr="004C3560">
        <w:rPr>
          <w:rFonts w:asciiTheme="minorEastAsia" w:hAnsiTheme="minorEastAsia" w:cs="宋体" w:hint="eastAsia"/>
          <w:sz w:val="28"/>
          <w:szCs w:val="28"/>
        </w:rPr>
        <w:t>甲酰吗啉在此环节的局限性，近年来复合萃取精馏（也称</w:t>
      </w:r>
      <w:r w:rsidRPr="004C3560">
        <w:rPr>
          <w:rFonts w:asciiTheme="minorEastAsia" w:hAnsiTheme="minorEastAsia" w:cs="宋体" w:hint="eastAsia"/>
          <w:sz w:val="28"/>
          <w:szCs w:val="28"/>
        </w:rPr>
        <w:lastRenderedPageBreak/>
        <w:t>混合溶剂）是研究的热点，就是在主溶剂中加入一定量的助溶剂，与主溶剂配比形成复合溶剂，加入助溶剂的主要作用是：在保证原单一溶剂具有高选择性的前提下，改善原单一溶剂的溶解性，使其更大限度地改变待分离物系有关组分之间的相对挥发度，使分离过程更加容易且分离效率更高。</w:t>
      </w:r>
    </w:p>
    <w:p w:rsidR="004C3560" w:rsidRPr="004C3560" w:rsidRDefault="004C3560" w:rsidP="004C3560">
      <w:pPr>
        <w:shd w:val="clear" w:color="auto" w:fill="FFFFFF"/>
        <w:spacing w:after="240" w:line="360" w:lineRule="auto"/>
        <w:rPr>
          <w:rFonts w:asciiTheme="minorEastAsia" w:hAnsiTheme="minorEastAsia" w:cs="Times New Roman"/>
          <w:sz w:val="28"/>
          <w:szCs w:val="28"/>
        </w:rPr>
      </w:pPr>
      <w:r w:rsidRPr="004C3560">
        <w:rPr>
          <w:rFonts w:asciiTheme="minorEastAsia" w:hAnsiTheme="minorEastAsia" w:cs="Times New Roman"/>
          <w:sz w:val="28"/>
          <w:szCs w:val="28"/>
        </w:rPr>
        <w:t xml:space="preserve">     </w:t>
      </w:r>
      <w:r w:rsidRPr="004C3560">
        <w:rPr>
          <w:rFonts w:asciiTheme="minorEastAsia" w:hAnsiTheme="minorEastAsia" w:cs="宋体" w:hint="eastAsia"/>
          <w:sz w:val="28"/>
          <w:szCs w:val="28"/>
        </w:rPr>
        <w:t>本项目研究负责人自</w:t>
      </w:r>
      <w:r w:rsidRPr="004C3560">
        <w:rPr>
          <w:rFonts w:asciiTheme="minorEastAsia" w:hAnsiTheme="minorEastAsia" w:cs="Times New Roman"/>
          <w:sz w:val="28"/>
          <w:szCs w:val="28"/>
        </w:rPr>
        <w:t>2005</w:t>
      </w:r>
      <w:r w:rsidRPr="004C3560">
        <w:rPr>
          <w:rFonts w:asciiTheme="minorEastAsia" w:hAnsiTheme="minorEastAsia" w:cs="宋体" w:hint="eastAsia"/>
          <w:sz w:val="28"/>
          <w:szCs w:val="28"/>
        </w:rPr>
        <w:t>年与石焦集团就开展了混合溶剂的基础研究，筛选数十种助溶剂分别与环丁砜、</w:t>
      </w:r>
      <w:r w:rsidRPr="004C3560">
        <w:rPr>
          <w:rFonts w:asciiTheme="minorEastAsia" w:hAnsiTheme="minorEastAsia" w:cs="Times New Roman"/>
          <w:sz w:val="28"/>
          <w:szCs w:val="28"/>
        </w:rPr>
        <w:t>N-</w:t>
      </w:r>
      <w:r w:rsidRPr="004C3560">
        <w:rPr>
          <w:rFonts w:asciiTheme="minorEastAsia" w:hAnsiTheme="minorEastAsia" w:cs="宋体" w:hint="eastAsia"/>
          <w:sz w:val="28"/>
          <w:szCs w:val="28"/>
        </w:rPr>
        <w:t>甲酰吗啉形成不同的复配萃取剂进行萃取精馏的研究，考察了配比、溶剂比、操作条件等参数对其萃取精馏过程的影响，积累了大量的实验数据。在中国科学院过程工程研究所的平台基础上，研究者持续进行其实验开发和工业放大的研究，形成了核心的以环丁砜为主溶剂的混合溶剂及整体的系统工艺方案。同期在</w:t>
      </w:r>
      <w:r w:rsidRPr="004C3560">
        <w:rPr>
          <w:rFonts w:asciiTheme="minorEastAsia" w:hAnsiTheme="minorEastAsia" w:cs="Times New Roman"/>
          <w:sz w:val="28"/>
          <w:szCs w:val="28"/>
        </w:rPr>
        <w:t>2012</w:t>
      </w:r>
      <w:r w:rsidRPr="004C3560">
        <w:rPr>
          <w:rFonts w:asciiTheme="minorEastAsia" w:hAnsiTheme="minorEastAsia" w:cs="宋体" w:hint="eastAsia"/>
          <w:sz w:val="28"/>
          <w:szCs w:val="28"/>
        </w:rPr>
        <w:t>年与江苏一企业进行中试研发，并同期进行</w:t>
      </w:r>
      <w:r w:rsidRPr="004C3560">
        <w:rPr>
          <w:rFonts w:asciiTheme="minorEastAsia" w:hAnsiTheme="minorEastAsia" w:cs="Times New Roman"/>
          <w:sz w:val="28"/>
          <w:szCs w:val="28"/>
        </w:rPr>
        <w:t>5</w:t>
      </w:r>
      <w:r w:rsidRPr="004C3560">
        <w:rPr>
          <w:rFonts w:asciiTheme="minorEastAsia" w:hAnsiTheme="minorEastAsia" w:cs="宋体" w:hint="eastAsia"/>
          <w:sz w:val="28"/>
          <w:szCs w:val="28"/>
        </w:rPr>
        <w:t>万吨</w:t>
      </w:r>
      <w:r w:rsidRPr="004C3560">
        <w:rPr>
          <w:rFonts w:asciiTheme="minorEastAsia" w:hAnsiTheme="minorEastAsia" w:cs="Times New Roman"/>
          <w:sz w:val="28"/>
          <w:szCs w:val="28"/>
        </w:rPr>
        <w:t>/</w:t>
      </w:r>
      <w:r w:rsidRPr="004C3560">
        <w:rPr>
          <w:rFonts w:asciiTheme="minorEastAsia" w:hAnsiTheme="minorEastAsia" w:cs="宋体" w:hint="eastAsia"/>
          <w:sz w:val="28"/>
          <w:szCs w:val="28"/>
        </w:rPr>
        <w:t>年的非芳烃高值化利用项目，项目自</w:t>
      </w:r>
      <w:r w:rsidRPr="004C3560">
        <w:rPr>
          <w:rFonts w:asciiTheme="minorEastAsia" w:hAnsiTheme="minorEastAsia" w:cs="Times New Roman"/>
          <w:sz w:val="28"/>
          <w:szCs w:val="28"/>
        </w:rPr>
        <w:t>2013</w:t>
      </w:r>
      <w:r w:rsidRPr="004C3560">
        <w:rPr>
          <w:rFonts w:asciiTheme="minorEastAsia" w:hAnsiTheme="minorEastAsia" w:cs="宋体" w:hint="eastAsia"/>
          <w:sz w:val="28"/>
          <w:szCs w:val="28"/>
        </w:rPr>
        <w:t>年</w:t>
      </w:r>
      <w:r w:rsidRPr="004C3560">
        <w:rPr>
          <w:rFonts w:asciiTheme="minorEastAsia" w:hAnsiTheme="minorEastAsia" w:cs="Times New Roman"/>
          <w:sz w:val="28"/>
          <w:szCs w:val="28"/>
        </w:rPr>
        <w:t>8</w:t>
      </w:r>
      <w:r w:rsidRPr="004C3560">
        <w:rPr>
          <w:rFonts w:asciiTheme="minorEastAsia" w:hAnsiTheme="minorEastAsia" w:cs="宋体" w:hint="eastAsia"/>
          <w:sz w:val="28"/>
          <w:szCs w:val="28"/>
        </w:rPr>
        <w:t>月开车以来，通过不断优化和改造，得到了满足发泡剂要求的高纯环戊烷（大于</w:t>
      </w:r>
      <w:r w:rsidRPr="004C3560">
        <w:rPr>
          <w:rFonts w:asciiTheme="minorEastAsia" w:hAnsiTheme="minorEastAsia" w:cs="Times New Roman"/>
          <w:sz w:val="28"/>
          <w:szCs w:val="28"/>
        </w:rPr>
        <w:t>95%</w:t>
      </w:r>
      <w:r w:rsidRPr="004C3560">
        <w:rPr>
          <w:rFonts w:asciiTheme="minorEastAsia" w:hAnsiTheme="minorEastAsia" w:cs="宋体" w:hint="eastAsia"/>
          <w:sz w:val="28"/>
          <w:szCs w:val="28"/>
        </w:rPr>
        <w:t>）、</w:t>
      </w:r>
      <w:r w:rsidRPr="004C3560">
        <w:rPr>
          <w:rFonts w:asciiTheme="minorEastAsia" w:hAnsiTheme="minorEastAsia" w:cs="Times New Roman"/>
          <w:sz w:val="28"/>
          <w:szCs w:val="28"/>
        </w:rPr>
        <w:t>99.99%</w:t>
      </w:r>
      <w:r w:rsidRPr="004C3560">
        <w:rPr>
          <w:rFonts w:asciiTheme="minorEastAsia" w:hAnsiTheme="minorEastAsia" w:cs="宋体" w:hint="eastAsia"/>
          <w:sz w:val="28"/>
          <w:szCs w:val="28"/>
        </w:rPr>
        <w:t>的苯和低芳非芳烃（芳烃含量小于</w:t>
      </w:r>
      <w:r w:rsidRPr="004C3560">
        <w:rPr>
          <w:rFonts w:asciiTheme="minorEastAsia" w:hAnsiTheme="minorEastAsia" w:cs="Times New Roman"/>
          <w:sz w:val="28"/>
          <w:szCs w:val="28"/>
        </w:rPr>
        <w:t>1%</w:t>
      </w:r>
      <w:r w:rsidRPr="004C3560">
        <w:rPr>
          <w:rFonts w:asciiTheme="minorEastAsia" w:hAnsiTheme="minorEastAsia" w:cs="宋体" w:hint="eastAsia"/>
          <w:sz w:val="28"/>
          <w:szCs w:val="28"/>
        </w:rPr>
        <w:t>），圆满完成了初期研究目标，实现非芳烃的高值化利用。以下将具体叙述技术方案：</w:t>
      </w:r>
      <w:r w:rsidRPr="004C3560">
        <w:rPr>
          <w:rFonts w:asciiTheme="minorEastAsia" w:hAnsiTheme="minorEastAsia" w:cs="Times New Roman"/>
          <w:sz w:val="28"/>
          <w:szCs w:val="28"/>
        </w:rPr>
        <w:br/>
      </w:r>
      <w:r w:rsidRPr="004C3560">
        <w:rPr>
          <w:rFonts w:asciiTheme="minorEastAsia" w:hAnsiTheme="minorEastAsia" w:cs="宋体" w:hint="eastAsia"/>
          <w:sz w:val="28"/>
          <w:szCs w:val="28"/>
        </w:rPr>
        <w:t>三</w:t>
      </w:r>
      <w:r w:rsidRPr="004C3560">
        <w:rPr>
          <w:rFonts w:asciiTheme="minorEastAsia" w:hAnsiTheme="minorEastAsia" w:cs="Times New Roman"/>
          <w:sz w:val="28"/>
          <w:szCs w:val="28"/>
        </w:rPr>
        <w:t xml:space="preserve"> </w:t>
      </w:r>
      <w:r w:rsidRPr="004C3560">
        <w:rPr>
          <w:rFonts w:asciiTheme="minorEastAsia" w:hAnsiTheme="minorEastAsia" w:cs="宋体" w:hint="eastAsia"/>
          <w:sz w:val="28"/>
          <w:szCs w:val="28"/>
        </w:rPr>
        <w:t>工艺流程图及技术方案说明</w:t>
      </w:r>
    </w:p>
    <w:p w:rsidR="004C3560" w:rsidRPr="004C3560" w:rsidRDefault="004C3560" w:rsidP="004C3560">
      <w:pPr>
        <w:shd w:val="clear" w:color="auto" w:fill="FFFFFF"/>
        <w:spacing w:line="360" w:lineRule="auto"/>
        <w:rPr>
          <w:rFonts w:asciiTheme="minorEastAsia" w:hAnsiTheme="minorEastAsia" w:cs="宋体"/>
          <w:sz w:val="28"/>
          <w:szCs w:val="28"/>
        </w:rPr>
      </w:pPr>
      <w:r w:rsidRPr="004C3560">
        <w:rPr>
          <w:rFonts w:asciiTheme="minorEastAsia" w:hAnsiTheme="minorEastAsia" w:cs="Times New Roman"/>
          <w:sz w:val="28"/>
          <w:szCs w:val="28"/>
        </w:rPr>
        <w:t xml:space="preserve">3.1 </w:t>
      </w:r>
      <w:r w:rsidRPr="004C3560">
        <w:rPr>
          <w:rFonts w:asciiTheme="minorEastAsia" w:hAnsiTheme="minorEastAsia" w:cs="宋体" w:hint="eastAsia"/>
          <w:sz w:val="28"/>
          <w:szCs w:val="28"/>
        </w:rPr>
        <w:t>工艺流程</w:t>
      </w:r>
      <w:r>
        <w:rPr>
          <w:rFonts w:asciiTheme="minorEastAsia" w:hAnsiTheme="minorEastAsia" w:cs="宋体" w:hint="eastAsia"/>
          <w:sz w:val="28"/>
          <w:szCs w:val="28"/>
        </w:rPr>
        <w:t>简图</w:t>
      </w:r>
    </w:p>
    <w:p w:rsidR="004C3560" w:rsidRPr="004C3560" w:rsidRDefault="004C3560" w:rsidP="004C3560">
      <w:pPr>
        <w:shd w:val="clear" w:color="auto" w:fill="FFFFFF"/>
        <w:spacing w:line="360" w:lineRule="auto"/>
        <w:rPr>
          <w:rFonts w:asciiTheme="minorEastAsia" w:hAnsiTheme="minorEastAsia" w:cs="Times New Roman"/>
          <w:sz w:val="28"/>
          <w:szCs w:val="28"/>
        </w:rPr>
      </w:pPr>
      <w:r w:rsidRPr="004C3560">
        <w:rPr>
          <w:rFonts w:asciiTheme="minorEastAsia" w:hAnsiTheme="minorEastAsia"/>
          <w:sz w:val="28"/>
          <w:szCs w:val="28"/>
        </w:rPr>
        <w:object w:dxaOrig="12830" w:dyaOrig="8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79pt" o:ole="">
            <v:imagedata r:id="rId5" o:title=""/>
          </v:shape>
          <o:OLEObject Type="Embed" ProgID="Visio.Drawing.11" ShapeID="_x0000_i1025" DrawAspect="Content" ObjectID="_1573562301" r:id="rId6"/>
        </w:object>
      </w:r>
    </w:p>
    <w:p w:rsidR="004C3560" w:rsidRPr="004C3560" w:rsidRDefault="004C3560" w:rsidP="004C3560">
      <w:pPr>
        <w:shd w:val="clear" w:color="auto" w:fill="FFFFFF"/>
        <w:spacing w:line="360" w:lineRule="auto"/>
        <w:jc w:val="center"/>
        <w:rPr>
          <w:rFonts w:asciiTheme="minorEastAsia" w:hAnsiTheme="minorEastAsia" w:cs="Times New Roman"/>
          <w:sz w:val="28"/>
          <w:szCs w:val="28"/>
        </w:rPr>
      </w:pPr>
    </w:p>
    <w:p w:rsidR="004C3560" w:rsidRPr="004C3560" w:rsidRDefault="004C3560" w:rsidP="004C3560">
      <w:pPr>
        <w:shd w:val="clear" w:color="auto" w:fill="FFFFFF"/>
        <w:spacing w:line="360" w:lineRule="auto"/>
        <w:jc w:val="center"/>
        <w:rPr>
          <w:rFonts w:asciiTheme="minorEastAsia" w:hAnsiTheme="minorEastAsia" w:cs="Times New Roman"/>
          <w:sz w:val="28"/>
          <w:szCs w:val="28"/>
        </w:rPr>
      </w:pPr>
      <w:r w:rsidRPr="004C3560">
        <w:rPr>
          <w:rFonts w:asciiTheme="minorEastAsia" w:hAnsiTheme="minorEastAsia" w:cs="宋体" w:hint="eastAsia"/>
          <w:sz w:val="28"/>
          <w:szCs w:val="28"/>
        </w:rPr>
        <w:t>图</w:t>
      </w:r>
      <w:r w:rsidRPr="004C3560">
        <w:rPr>
          <w:rFonts w:asciiTheme="minorEastAsia" w:hAnsiTheme="minorEastAsia" w:cs="Times New Roman"/>
          <w:sz w:val="28"/>
          <w:szCs w:val="28"/>
        </w:rPr>
        <w:t xml:space="preserve">1 </w:t>
      </w:r>
      <w:r w:rsidRPr="004C3560">
        <w:rPr>
          <w:rFonts w:asciiTheme="minorEastAsia" w:hAnsiTheme="minorEastAsia" w:cs="宋体" w:hint="eastAsia"/>
          <w:sz w:val="28"/>
          <w:szCs w:val="28"/>
        </w:rPr>
        <w:t>焦化非芳烃综合利用项目</w:t>
      </w:r>
    </w:p>
    <w:p w:rsidR="004C3560" w:rsidRPr="004C3560" w:rsidRDefault="004C3560" w:rsidP="004C3560">
      <w:pPr>
        <w:shd w:val="clear" w:color="auto" w:fill="FFFFFF"/>
        <w:spacing w:line="360" w:lineRule="auto"/>
        <w:rPr>
          <w:rFonts w:asciiTheme="minorEastAsia" w:hAnsiTheme="minorEastAsia" w:cs="Times New Roman"/>
          <w:sz w:val="28"/>
          <w:szCs w:val="28"/>
        </w:rPr>
      </w:pPr>
      <w:r w:rsidRPr="004C3560">
        <w:rPr>
          <w:rFonts w:asciiTheme="minorEastAsia" w:hAnsiTheme="minorEastAsia" w:cs="Times New Roman"/>
          <w:sz w:val="28"/>
          <w:szCs w:val="28"/>
        </w:rPr>
        <w:t xml:space="preserve">3.2 </w:t>
      </w:r>
      <w:r w:rsidRPr="004C3560">
        <w:rPr>
          <w:rFonts w:asciiTheme="minorEastAsia" w:hAnsiTheme="minorEastAsia" w:cs="宋体" w:hint="eastAsia"/>
          <w:sz w:val="28"/>
          <w:szCs w:val="28"/>
        </w:rPr>
        <w:t>工艺说明</w:t>
      </w:r>
    </w:p>
    <w:p w:rsidR="004C3560" w:rsidRPr="004C3560" w:rsidRDefault="004C3560" w:rsidP="004C3560">
      <w:pPr>
        <w:shd w:val="clear" w:color="auto" w:fill="FFFFFF"/>
        <w:spacing w:line="360" w:lineRule="auto"/>
        <w:rPr>
          <w:rFonts w:asciiTheme="minorEastAsia" w:hAnsiTheme="minorEastAsia" w:cs="Times New Roman"/>
          <w:sz w:val="28"/>
          <w:szCs w:val="28"/>
        </w:rPr>
      </w:pPr>
      <w:r w:rsidRPr="004C3560">
        <w:rPr>
          <w:rFonts w:asciiTheme="minorEastAsia" w:hAnsiTheme="minorEastAsia" w:cs="Times New Roman"/>
          <w:sz w:val="28"/>
          <w:szCs w:val="28"/>
        </w:rPr>
        <w:t xml:space="preserve">    </w:t>
      </w:r>
      <w:r w:rsidRPr="004C3560">
        <w:rPr>
          <w:rFonts w:asciiTheme="minorEastAsia" w:hAnsiTheme="minorEastAsia" w:cs="宋体" w:hint="eastAsia"/>
          <w:sz w:val="28"/>
          <w:szCs w:val="28"/>
        </w:rPr>
        <w:t>如图所示，焦化非芳烃首先经过脱重塔进行脱重分离（根据生产经验可知，从市场采购的非芳烃经常含有</w:t>
      </w:r>
      <w:r w:rsidRPr="004C3560">
        <w:rPr>
          <w:rFonts w:asciiTheme="minorEastAsia" w:hAnsiTheme="minorEastAsia" w:cs="Times New Roman"/>
          <w:sz w:val="28"/>
          <w:szCs w:val="28"/>
        </w:rPr>
        <w:t>C7/C10</w:t>
      </w:r>
      <w:r w:rsidRPr="004C3560">
        <w:rPr>
          <w:rFonts w:asciiTheme="minorEastAsia" w:hAnsiTheme="minorEastAsia" w:cs="宋体" w:hint="eastAsia"/>
          <w:sz w:val="28"/>
          <w:szCs w:val="28"/>
        </w:rPr>
        <w:t>的重芳烃，影响萃取精馏效果），塔底排出的</w:t>
      </w:r>
      <w:r w:rsidRPr="004C3560">
        <w:rPr>
          <w:rFonts w:asciiTheme="minorEastAsia" w:hAnsiTheme="minorEastAsia" w:cs="Times New Roman"/>
          <w:sz w:val="28"/>
          <w:szCs w:val="28"/>
        </w:rPr>
        <w:t>C7+</w:t>
      </w:r>
      <w:r w:rsidRPr="004C3560">
        <w:rPr>
          <w:rFonts w:asciiTheme="minorEastAsia" w:hAnsiTheme="minorEastAsia" w:cs="宋体" w:hint="eastAsia"/>
          <w:sz w:val="28"/>
          <w:szCs w:val="28"/>
        </w:rPr>
        <w:t>馏分进行出界区做为溶剂油销售。顶部排出的含有非芳烃和苯的混合物进入抽提精馏塔进行混合溶剂的分离，塔顶排出的低芳非芳烃（控制指标苯小于</w:t>
      </w:r>
      <w:r w:rsidRPr="004C3560">
        <w:rPr>
          <w:rFonts w:asciiTheme="minorEastAsia" w:hAnsiTheme="minorEastAsia" w:cs="Times New Roman"/>
          <w:sz w:val="28"/>
          <w:szCs w:val="28"/>
        </w:rPr>
        <w:t>1%</w:t>
      </w:r>
      <w:r w:rsidRPr="004C3560">
        <w:rPr>
          <w:rFonts w:asciiTheme="minorEastAsia" w:hAnsiTheme="minorEastAsia" w:cs="宋体" w:hint="eastAsia"/>
          <w:sz w:val="28"/>
          <w:szCs w:val="28"/>
        </w:rPr>
        <w:t>）出界区做为汽油溶剂（低芳非芳烃）进行销售。</w:t>
      </w:r>
    </w:p>
    <w:p w:rsidR="004C3560" w:rsidRPr="004C3560" w:rsidRDefault="004C3560" w:rsidP="004C3560">
      <w:pPr>
        <w:shd w:val="clear" w:color="auto" w:fill="FFFFFF"/>
        <w:spacing w:line="360" w:lineRule="auto"/>
        <w:ind w:firstLineChars="200" w:firstLine="560"/>
        <w:rPr>
          <w:rFonts w:asciiTheme="minorEastAsia" w:hAnsiTheme="minorEastAsia" w:cs="Times New Roman"/>
          <w:sz w:val="28"/>
          <w:szCs w:val="28"/>
        </w:rPr>
      </w:pPr>
      <w:r w:rsidRPr="004C3560">
        <w:rPr>
          <w:rFonts w:asciiTheme="minorEastAsia" w:hAnsiTheme="minorEastAsia" w:cs="宋体" w:hint="eastAsia"/>
          <w:sz w:val="28"/>
          <w:szCs w:val="28"/>
        </w:rPr>
        <w:t>底部排出的含有苯和富溶剂的组分进行溶剂回收系统，塔底的混合溶剂经溶剂纯化再生系统后循环使用，底部排出的苯产品进行销售。</w:t>
      </w:r>
    </w:p>
    <w:p w:rsidR="004C3560" w:rsidRPr="004C3560" w:rsidRDefault="004C3560" w:rsidP="004C3560">
      <w:pPr>
        <w:shd w:val="clear" w:color="auto" w:fill="FFFFFF"/>
        <w:spacing w:line="360" w:lineRule="auto"/>
        <w:ind w:firstLineChars="200" w:firstLine="560"/>
        <w:rPr>
          <w:rFonts w:asciiTheme="minorEastAsia" w:hAnsiTheme="minorEastAsia" w:cs="Times New Roman"/>
          <w:sz w:val="28"/>
          <w:szCs w:val="28"/>
        </w:rPr>
      </w:pPr>
      <w:r w:rsidRPr="004C3560">
        <w:rPr>
          <w:rFonts w:asciiTheme="minorEastAsia" w:hAnsiTheme="minorEastAsia" w:cs="宋体" w:hint="eastAsia"/>
          <w:sz w:val="28"/>
          <w:szCs w:val="28"/>
        </w:rPr>
        <w:t>为保证苯产品酸洗比色指标以及含有的微量硫，系统增加高效吸</w:t>
      </w:r>
      <w:r w:rsidRPr="004C3560">
        <w:rPr>
          <w:rFonts w:asciiTheme="minorEastAsia" w:hAnsiTheme="minorEastAsia" w:cs="宋体" w:hint="eastAsia"/>
          <w:sz w:val="28"/>
          <w:szCs w:val="28"/>
        </w:rPr>
        <w:lastRenderedPageBreak/>
        <w:t>附装置，以保证苯产品的高纯指标。</w:t>
      </w:r>
    </w:p>
    <w:p w:rsidR="004C3560" w:rsidRPr="004C3560" w:rsidRDefault="004C3560" w:rsidP="004C3560">
      <w:pPr>
        <w:shd w:val="clear" w:color="auto" w:fill="FFFFFF"/>
        <w:spacing w:line="360" w:lineRule="auto"/>
        <w:rPr>
          <w:rFonts w:asciiTheme="minorEastAsia" w:hAnsiTheme="minorEastAsia" w:cs="Times New Roman"/>
          <w:sz w:val="28"/>
          <w:szCs w:val="28"/>
        </w:rPr>
      </w:pPr>
      <w:r w:rsidRPr="004C3560">
        <w:rPr>
          <w:rFonts w:asciiTheme="minorEastAsia" w:hAnsiTheme="minorEastAsia" w:cs="Times New Roman"/>
          <w:sz w:val="28"/>
          <w:szCs w:val="28"/>
        </w:rPr>
        <w:t xml:space="preserve">3.3 </w:t>
      </w:r>
      <w:r w:rsidRPr="004C3560">
        <w:rPr>
          <w:rFonts w:asciiTheme="minorEastAsia" w:hAnsiTheme="minorEastAsia" w:cs="宋体" w:hint="eastAsia"/>
          <w:sz w:val="28"/>
          <w:szCs w:val="28"/>
        </w:rPr>
        <w:t>工艺先进性说明</w:t>
      </w:r>
    </w:p>
    <w:p w:rsidR="004C3560" w:rsidRPr="004C3560" w:rsidRDefault="004C3560" w:rsidP="004C3560">
      <w:pPr>
        <w:widowControl/>
        <w:shd w:val="clear" w:color="auto" w:fill="FFFFFF"/>
        <w:spacing w:line="360" w:lineRule="auto"/>
        <w:ind w:firstLineChars="200" w:firstLine="560"/>
        <w:outlineLvl w:val="1"/>
        <w:rPr>
          <w:rFonts w:asciiTheme="minorEastAsia" w:hAnsiTheme="minorEastAsia" w:cs="Times New Roman"/>
          <w:sz w:val="28"/>
          <w:szCs w:val="28"/>
        </w:rPr>
      </w:pPr>
      <w:bookmarkStart w:id="0" w:name="_Toc347318139"/>
      <w:bookmarkStart w:id="1" w:name="_Toc347487810"/>
      <w:r w:rsidRPr="004C3560">
        <w:rPr>
          <w:rFonts w:asciiTheme="minorEastAsia" w:hAnsiTheme="minorEastAsia" w:cs="宋体" w:hint="eastAsia"/>
          <w:sz w:val="28"/>
          <w:szCs w:val="28"/>
        </w:rPr>
        <w:t>本工艺借鉴石油工业的芳烃抽提和焦化粗苯的芳烃抽提工艺，依托中国科学院在化工分离及资源高效利用的学科优势及工程经验，经多年研发开发了拥有自主知识产权的环丁砜</w:t>
      </w:r>
      <w:r w:rsidRPr="004C3560">
        <w:rPr>
          <w:rFonts w:asciiTheme="minorEastAsia" w:hAnsiTheme="minorEastAsia" w:cs="Times New Roman"/>
          <w:sz w:val="28"/>
          <w:szCs w:val="28"/>
        </w:rPr>
        <w:t>+</w:t>
      </w:r>
      <w:r w:rsidRPr="004C3560">
        <w:rPr>
          <w:rFonts w:asciiTheme="minorEastAsia" w:hAnsiTheme="minorEastAsia" w:cs="宋体" w:hint="eastAsia"/>
          <w:sz w:val="28"/>
          <w:szCs w:val="28"/>
        </w:rPr>
        <w:t>专有溶剂的复配溶剂做为其工艺的混合抽提溶剂。</w:t>
      </w:r>
      <w:bookmarkEnd w:id="0"/>
      <w:bookmarkEnd w:id="1"/>
    </w:p>
    <w:p w:rsidR="004C3560" w:rsidRPr="004C3560" w:rsidRDefault="004C3560" w:rsidP="004C3560">
      <w:pPr>
        <w:shd w:val="clear" w:color="auto" w:fill="FFFFFF"/>
        <w:adjustRightInd w:val="0"/>
        <w:spacing w:line="312" w:lineRule="auto"/>
        <w:ind w:firstLineChars="250" w:firstLine="700"/>
        <w:jc w:val="left"/>
        <w:rPr>
          <w:rFonts w:asciiTheme="minorEastAsia" w:hAnsiTheme="minorEastAsia" w:cs="Times New Roman"/>
          <w:sz w:val="28"/>
          <w:szCs w:val="28"/>
        </w:rPr>
      </w:pPr>
      <w:r w:rsidRPr="004C3560">
        <w:rPr>
          <w:rFonts w:asciiTheme="minorEastAsia" w:hAnsiTheme="minorEastAsia" w:cs="宋体" w:hint="eastAsia"/>
          <w:sz w:val="28"/>
          <w:szCs w:val="28"/>
        </w:rPr>
        <w:t>本工艺就是开发了混合溶剂以弥补当前环丁砜抽提蒸馏工艺的能耗高、其损耗较大、以及非芳烃切割分离效率不彻底等缺点。</w:t>
      </w:r>
    </w:p>
    <w:p w:rsidR="004C3560" w:rsidRPr="004C3560" w:rsidRDefault="004C3560" w:rsidP="004C3560">
      <w:pPr>
        <w:widowControl/>
        <w:shd w:val="clear" w:color="auto" w:fill="FFFFFF"/>
        <w:spacing w:line="360" w:lineRule="auto"/>
        <w:outlineLvl w:val="1"/>
        <w:rPr>
          <w:rFonts w:asciiTheme="minorEastAsia" w:hAnsiTheme="minorEastAsia" w:cs="Times New Roman"/>
          <w:sz w:val="28"/>
          <w:szCs w:val="28"/>
        </w:rPr>
      </w:pPr>
      <w:bookmarkStart w:id="2" w:name="_Toc347318140"/>
      <w:bookmarkStart w:id="3" w:name="_Toc347487811"/>
      <w:r w:rsidRPr="004C3560">
        <w:rPr>
          <w:rFonts w:asciiTheme="minorEastAsia" w:hAnsiTheme="minorEastAsia" w:cs="Times New Roman"/>
          <w:sz w:val="28"/>
          <w:szCs w:val="28"/>
        </w:rPr>
        <w:t>IPESOLENET---</w:t>
      </w:r>
      <w:r w:rsidRPr="004C3560">
        <w:rPr>
          <w:rFonts w:asciiTheme="minorEastAsia" w:hAnsiTheme="minorEastAsia" w:cs="宋体" w:hint="eastAsia"/>
          <w:sz w:val="28"/>
          <w:szCs w:val="28"/>
        </w:rPr>
        <w:t>环丁砜专有溶剂系统的特点</w:t>
      </w:r>
      <w:bookmarkEnd w:id="2"/>
      <w:bookmarkEnd w:id="3"/>
    </w:p>
    <w:p w:rsidR="004C3560" w:rsidRPr="004C3560" w:rsidRDefault="004C3560" w:rsidP="004C3560">
      <w:pPr>
        <w:widowControl/>
        <w:numPr>
          <w:ilvl w:val="0"/>
          <w:numId w:val="2"/>
        </w:numPr>
        <w:shd w:val="clear" w:color="auto" w:fill="FFFFFF"/>
        <w:spacing w:line="360" w:lineRule="auto"/>
        <w:ind w:left="0" w:firstLineChars="200" w:firstLine="560"/>
        <w:jc w:val="left"/>
        <w:rPr>
          <w:rFonts w:asciiTheme="minorEastAsia" w:hAnsiTheme="minorEastAsia" w:cs="Times New Roman"/>
          <w:kern w:val="0"/>
          <w:sz w:val="28"/>
          <w:szCs w:val="28"/>
        </w:rPr>
      </w:pPr>
      <w:r w:rsidRPr="004C3560">
        <w:rPr>
          <w:rFonts w:asciiTheme="minorEastAsia" w:hAnsiTheme="minorEastAsia" w:cs="宋体" w:hint="eastAsia"/>
          <w:kern w:val="0"/>
          <w:sz w:val="28"/>
          <w:szCs w:val="28"/>
        </w:rPr>
        <w:t>采用专用溶剂配方，非芳烃与芳烃之间挥发度改变较传统溶剂提高至少</w:t>
      </w:r>
      <w:r w:rsidRPr="004C3560">
        <w:rPr>
          <w:rFonts w:asciiTheme="minorEastAsia" w:hAnsiTheme="minorEastAsia" w:cs="Times New Roman"/>
          <w:kern w:val="0"/>
          <w:sz w:val="28"/>
          <w:szCs w:val="28"/>
        </w:rPr>
        <w:t>10%</w:t>
      </w:r>
      <w:r w:rsidRPr="004C3560">
        <w:rPr>
          <w:rFonts w:asciiTheme="minorEastAsia" w:hAnsiTheme="minorEastAsia" w:cs="宋体" w:hint="eastAsia"/>
          <w:kern w:val="0"/>
          <w:sz w:val="28"/>
          <w:szCs w:val="28"/>
        </w:rPr>
        <w:t>，整个分离及溶剂溶剂回收的能耗降低约</w:t>
      </w:r>
      <w:r w:rsidRPr="004C3560">
        <w:rPr>
          <w:rFonts w:asciiTheme="minorEastAsia" w:hAnsiTheme="minorEastAsia" w:cs="Times New Roman"/>
          <w:kern w:val="0"/>
          <w:sz w:val="28"/>
          <w:szCs w:val="28"/>
        </w:rPr>
        <w:t>5%</w:t>
      </w:r>
      <w:r w:rsidRPr="004C3560">
        <w:rPr>
          <w:rFonts w:asciiTheme="minorEastAsia" w:hAnsiTheme="minorEastAsia" w:cs="宋体" w:hint="eastAsia"/>
          <w:kern w:val="0"/>
          <w:sz w:val="28"/>
          <w:szCs w:val="28"/>
        </w:rPr>
        <w:t>。</w:t>
      </w:r>
    </w:p>
    <w:p w:rsidR="004C3560" w:rsidRPr="004C3560" w:rsidRDefault="004C3560" w:rsidP="004C3560">
      <w:pPr>
        <w:widowControl/>
        <w:numPr>
          <w:ilvl w:val="0"/>
          <w:numId w:val="2"/>
        </w:numPr>
        <w:shd w:val="clear" w:color="auto" w:fill="FFFFFF"/>
        <w:spacing w:line="360" w:lineRule="auto"/>
        <w:ind w:left="0" w:firstLineChars="200" w:firstLine="560"/>
        <w:jc w:val="left"/>
        <w:rPr>
          <w:rFonts w:asciiTheme="minorEastAsia" w:hAnsiTheme="minorEastAsia" w:cs="Times New Roman"/>
          <w:kern w:val="0"/>
          <w:sz w:val="28"/>
          <w:szCs w:val="28"/>
        </w:rPr>
      </w:pPr>
      <w:r w:rsidRPr="004C3560">
        <w:rPr>
          <w:rFonts w:asciiTheme="minorEastAsia" w:hAnsiTheme="minorEastAsia" w:cs="宋体" w:hint="eastAsia"/>
          <w:kern w:val="0"/>
          <w:sz w:val="28"/>
          <w:szCs w:val="28"/>
        </w:rPr>
        <w:t>专有溶剂油活化</w:t>
      </w:r>
      <w:r w:rsidRPr="004C3560">
        <w:rPr>
          <w:rFonts w:asciiTheme="minorEastAsia" w:hAnsiTheme="minorEastAsia" w:cs="Times New Roman"/>
          <w:bCs/>
          <w:sz w:val="28"/>
          <w:szCs w:val="28"/>
        </w:rPr>
        <w:t>IPESOLENET</w:t>
      </w:r>
      <w:r w:rsidRPr="004C3560">
        <w:rPr>
          <w:rFonts w:asciiTheme="minorEastAsia" w:hAnsiTheme="minorEastAsia" w:cs="宋体" w:hint="eastAsia"/>
          <w:kern w:val="0"/>
          <w:sz w:val="28"/>
          <w:szCs w:val="28"/>
        </w:rPr>
        <w:t>砜混合溶剂，对设备无腐蚀，溶液运行损耗较少，运行成本低廉。</w:t>
      </w:r>
    </w:p>
    <w:p w:rsidR="004C3560" w:rsidRPr="004C3560" w:rsidRDefault="004C3560" w:rsidP="004C3560">
      <w:pPr>
        <w:shd w:val="clear" w:color="auto" w:fill="FFFFFF"/>
        <w:spacing w:line="360" w:lineRule="auto"/>
        <w:ind w:firstLineChars="200" w:firstLine="560"/>
        <w:jc w:val="left"/>
        <w:rPr>
          <w:rFonts w:asciiTheme="minorEastAsia" w:hAnsiTheme="minorEastAsia" w:cs="Times New Roman"/>
          <w:kern w:val="0"/>
          <w:sz w:val="28"/>
          <w:szCs w:val="28"/>
        </w:rPr>
      </w:pPr>
      <w:r w:rsidRPr="004C3560">
        <w:rPr>
          <w:rFonts w:asciiTheme="minorEastAsia" w:hAnsiTheme="minorEastAsia" w:cs="Times New Roman"/>
          <w:kern w:val="0"/>
          <w:sz w:val="28"/>
          <w:szCs w:val="28"/>
        </w:rPr>
        <w:t>3</w:t>
      </w:r>
      <w:r w:rsidRPr="004C3560">
        <w:rPr>
          <w:rFonts w:asciiTheme="minorEastAsia" w:hAnsiTheme="minorEastAsia" w:cs="宋体" w:hint="eastAsia"/>
          <w:kern w:val="0"/>
          <w:sz w:val="28"/>
          <w:szCs w:val="28"/>
        </w:rPr>
        <w:t>）</w:t>
      </w:r>
      <w:r w:rsidRPr="004C3560">
        <w:rPr>
          <w:rFonts w:asciiTheme="minorEastAsia" w:hAnsiTheme="minorEastAsia" w:cs="Times New Roman"/>
          <w:kern w:val="0"/>
          <w:sz w:val="28"/>
          <w:szCs w:val="28"/>
        </w:rPr>
        <w:t xml:space="preserve"> </w:t>
      </w:r>
      <w:r w:rsidRPr="004C3560">
        <w:rPr>
          <w:rFonts w:asciiTheme="minorEastAsia" w:hAnsiTheme="minorEastAsia" w:cs="宋体" w:hint="eastAsia"/>
          <w:kern w:val="0"/>
          <w:sz w:val="28"/>
          <w:szCs w:val="28"/>
        </w:rPr>
        <w:t>本工艺技术为开发方核心技术，已经小试开发</w:t>
      </w:r>
      <w:r w:rsidRPr="004C3560">
        <w:rPr>
          <w:rFonts w:asciiTheme="minorEastAsia" w:hAnsiTheme="minorEastAsia" w:cs="Times New Roman"/>
          <w:kern w:val="0"/>
          <w:sz w:val="28"/>
          <w:szCs w:val="28"/>
        </w:rPr>
        <w:t>-</w:t>
      </w:r>
      <w:r w:rsidRPr="004C3560">
        <w:rPr>
          <w:rFonts w:asciiTheme="minorEastAsia" w:hAnsiTheme="minorEastAsia" w:cs="宋体" w:hint="eastAsia"/>
          <w:kern w:val="0"/>
          <w:sz w:val="28"/>
          <w:szCs w:val="28"/>
        </w:rPr>
        <w:t>中试验证其具有完备的研发数据和小试实验装置，且国内工业装置上得到验证，运行数据可靠，工艺技术成熟，工程开车经验丰富。</w:t>
      </w:r>
    </w:p>
    <w:sectPr w:rsidR="004C3560" w:rsidRPr="004C3560" w:rsidSect="005354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lvl w:ilvl="0">
      <w:start w:val="1"/>
      <w:numFmt w:val="decimal"/>
      <w:lvlText w:val="%1)"/>
      <w:lvlJc w:val="left"/>
      <w:pPr>
        <w:tabs>
          <w:tab w:val="num" w:pos="0"/>
        </w:tabs>
        <w:ind w:left="920" w:hanging="360"/>
      </w:pPr>
      <w:rPr>
        <w:rFonts w:cs="Times New Roman"/>
      </w:rPr>
    </w:lvl>
    <w:lvl w:ilvl="1">
      <w:start w:val="1"/>
      <w:numFmt w:val="lowerLetter"/>
      <w:lvlText w:val="%2)"/>
      <w:lvlJc w:val="left"/>
      <w:pPr>
        <w:tabs>
          <w:tab w:val="num" w:pos="0"/>
        </w:tabs>
        <w:ind w:left="1400" w:hanging="420"/>
      </w:pPr>
      <w:rPr>
        <w:rFonts w:cs="Times New Roman"/>
      </w:rPr>
    </w:lvl>
    <w:lvl w:ilvl="2">
      <w:start w:val="1"/>
      <w:numFmt w:val="lowerRoman"/>
      <w:lvlText w:val="%3."/>
      <w:lvlJc w:val="right"/>
      <w:pPr>
        <w:tabs>
          <w:tab w:val="num" w:pos="0"/>
        </w:tabs>
        <w:ind w:left="1820" w:hanging="420"/>
      </w:pPr>
      <w:rPr>
        <w:rFonts w:cs="Times New Roman"/>
      </w:rPr>
    </w:lvl>
    <w:lvl w:ilvl="3">
      <w:start w:val="1"/>
      <w:numFmt w:val="decimal"/>
      <w:lvlText w:val="%4."/>
      <w:lvlJc w:val="left"/>
      <w:pPr>
        <w:tabs>
          <w:tab w:val="num" w:pos="0"/>
        </w:tabs>
        <w:ind w:left="2240" w:hanging="420"/>
      </w:pPr>
      <w:rPr>
        <w:rFonts w:cs="Times New Roman"/>
      </w:rPr>
    </w:lvl>
    <w:lvl w:ilvl="4">
      <w:start w:val="1"/>
      <w:numFmt w:val="lowerLetter"/>
      <w:lvlText w:val="%5)"/>
      <w:lvlJc w:val="left"/>
      <w:pPr>
        <w:tabs>
          <w:tab w:val="num" w:pos="0"/>
        </w:tabs>
        <w:ind w:left="2660" w:hanging="420"/>
      </w:pPr>
      <w:rPr>
        <w:rFonts w:cs="Times New Roman"/>
      </w:rPr>
    </w:lvl>
    <w:lvl w:ilvl="5">
      <w:start w:val="1"/>
      <w:numFmt w:val="lowerRoman"/>
      <w:lvlText w:val="%6."/>
      <w:lvlJc w:val="right"/>
      <w:pPr>
        <w:tabs>
          <w:tab w:val="num" w:pos="0"/>
        </w:tabs>
        <w:ind w:left="3080" w:hanging="420"/>
      </w:pPr>
      <w:rPr>
        <w:rFonts w:cs="Times New Roman"/>
      </w:rPr>
    </w:lvl>
    <w:lvl w:ilvl="6">
      <w:start w:val="1"/>
      <w:numFmt w:val="decimal"/>
      <w:lvlText w:val="%7."/>
      <w:lvlJc w:val="left"/>
      <w:pPr>
        <w:tabs>
          <w:tab w:val="num" w:pos="0"/>
        </w:tabs>
        <w:ind w:left="3500" w:hanging="420"/>
      </w:pPr>
      <w:rPr>
        <w:rFonts w:cs="Times New Roman"/>
      </w:rPr>
    </w:lvl>
    <w:lvl w:ilvl="7">
      <w:start w:val="1"/>
      <w:numFmt w:val="lowerLetter"/>
      <w:lvlText w:val="%8)"/>
      <w:lvlJc w:val="left"/>
      <w:pPr>
        <w:tabs>
          <w:tab w:val="num" w:pos="0"/>
        </w:tabs>
        <w:ind w:left="3920" w:hanging="420"/>
      </w:pPr>
      <w:rPr>
        <w:rFonts w:cs="Times New Roman"/>
      </w:rPr>
    </w:lvl>
    <w:lvl w:ilvl="8">
      <w:start w:val="1"/>
      <w:numFmt w:val="lowerRoman"/>
      <w:lvlText w:val="%9."/>
      <w:lvlJc w:val="right"/>
      <w:pPr>
        <w:tabs>
          <w:tab w:val="num" w:pos="0"/>
        </w:tabs>
        <w:ind w:left="4340" w:hanging="420"/>
      </w:pPr>
      <w:rPr>
        <w:rFonts w:cs="Times New Roman"/>
      </w:rPr>
    </w:lvl>
  </w:abstractNum>
  <w:abstractNum w:abstractNumId="1">
    <w:nsid w:val="09367C5B"/>
    <w:multiLevelType w:val="hybridMultilevel"/>
    <w:tmpl w:val="01EC0218"/>
    <w:lvl w:ilvl="0" w:tplc="13146244">
      <w:start w:val="4"/>
      <w:numFmt w:val="japaneseCounting"/>
      <w:lvlText w:val="%1、"/>
      <w:lvlJc w:val="left"/>
      <w:pPr>
        <w:tabs>
          <w:tab w:val="num" w:pos="1004"/>
        </w:tabs>
        <w:ind w:left="1004" w:hanging="720"/>
      </w:pPr>
      <w:rPr>
        <w:rFonts w:cs="Times New Roman"/>
      </w:rPr>
    </w:lvl>
    <w:lvl w:ilvl="1" w:tplc="4A262256">
      <w:start w:val="1"/>
      <w:numFmt w:val="lowerLetter"/>
      <w:lvlText w:val="%2)"/>
      <w:lvlJc w:val="left"/>
      <w:pPr>
        <w:tabs>
          <w:tab w:val="num" w:pos="1124"/>
        </w:tabs>
        <w:ind w:left="1124" w:hanging="420"/>
      </w:pPr>
      <w:rPr>
        <w:rFonts w:cs="Times New Roman"/>
      </w:rPr>
    </w:lvl>
    <w:lvl w:ilvl="2" w:tplc="C3460DD0">
      <w:start w:val="1"/>
      <w:numFmt w:val="lowerRoman"/>
      <w:lvlText w:val="%3."/>
      <w:lvlJc w:val="right"/>
      <w:pPr>
        <w:tabs>
          <w:tab w:val="num" w:pos="1544"/>
        </w:tabs>
        <w:ind w:left="1544" w:hanging="420"/>
      </w:pPr>
      <w:rPr>
        <w:rFonts w:cs="Times New Roman"/>
      </w:rPr>
    </w:lvl>
    <w:lvl w:ilvl="3" w:tplc="32C07CC6">
      <w:start w:val="1"/>
      <w:numFmt w:val="decimal"/>
      <w:lvlText w:val="%4."/>
      <w:lvlJc w:val="left"/>
      <w:pPr>
        <w:tabs>
          <w:tab w:val="num" w:pos="1964"/>
        </w:tabs>
        <w:ind w:left="1964" w:hanging="420"/>
      </w:pPr>
      <w:rPr>
        <w:rFonts w:cs="Times New Roman"/>
      </w:rPr>
    </w:lvl>
    <w:lvl w:ilvl="4" w:tplc="17601B04">
      <w:start w:val="1"/>
      <w:numFmt w:val="lowerLetter"/>
      <w:lvlText w:val="%5)"/>
      <w:lvlJc w:val="left"/>
      <w:pPr>
        <w:tabs>
          <w:tab w:val="num" w:pos="2384"/>
        </w:tabs>
        <w:ind w:left="2384" w:hanging="420"/>
      </w:pPr>
      <w:rPr>
        <w:rFonts w:cs="Times New Roman"/>
      </w:rPr>
    </w:lvl>
    <w:lvl w:ilvl="5" w:tplc="CFD4B0F8">
      <w:start w:val="1"/>
      <w:numFmt w:val="lowerRoman"/>
      <w:lvlText w:val="%6."/>
      <w:lvlJc w:val="right"/>
      <w:pPr>
        <w:tabs>
          <w:tab w:val="num" w:pos="2804"/>
        </w:tabs>
        <w:ind w:left="2804" w:hanging="420"/>
      </w:pPr>
      <w:rPr>
        <w:rFonts w:cs="Times New Roman"/>
      </w:rPr>
    </w:lvl>
    <w:lvl w:ilvl="6" w:tplc="BECC28AC">
      <w:start w:val="1"/>
      <w:numFmt w:val="decimal"/>
      <w:lvlText w:val="%7."/>
      <w:lvlJc w:val="left"/>
      <w:pPr>
        <w:tabs>
          <w:tab w:val="num" w:pos="3224"/>
        </w:tabs>
        <w:ind w:left="3224" w:hanging="420"/>
      </w:pPr>
      <w:rPr>
        <w:rFonts w:cs="Times New Roman"/>
      </w:rPr>
    </w:lvl>
    <w:lvl w:ilvl="7" w:tplc="D4263A68">
      <w:start w:val="1"/>
      <w:numFmt w:val="lowerLetter"/>
      <w:lvlText w:val="%8)"/>
      <w:lvlJc w:val="left"/>
      <w:pPr>
        <w:tabs>
          <w:tab w:val="num" w:pos="3644"/>
        </w:tabs>
        <w:ind w:left="3644" w:hanging="420"/>
      </w:pPr>
      <w:rPr>
        <w:rFonts w:cs="Times New Roman"/>
      </w:rPr>
    </w:lvl>
    <w:lvl w:ilvl="8" w:tplc="FF4CA138">
      <w:start w:val="1"/>
      <w:numFmt w:val="lowerRoman"/>
      <w:lvlText w:val="%9."/>
      <w:lvlJc w:val="right"/>
      <w:pPr>
        <w:tabs>
          <w:tab w:val="num" w:pos="4064"/>
        </w:tabs>
        <w:ind w:left="4064" w:hanging="420"/>
      </w:pPr>
      <w:rPr>
        <w:rFonts w:cs="Times New Roman"/>
      </w:rPr>
    </w:lvl>
  </w:abstractNum>
  <w:abstractNum w:abstractNumId="2">
    <w:nsid w:val="6BBB45E6"/>
    <w:multiLevelType w:val="hybridMultilevel"/>
    <w:tmpl w:val="AAD08432"/>
    <w:lvl w:ilvl="0" w:tplc="8DBC03D2">
      <w:start w:val="1"/>
      <w:numFmt w:val="bullet"/>
      <w:lvlText w:val=""/>
      <w:lvlJc w:val="left"/>
      <w:pPr>
        <w:tabs>
          <w:tab w:val="num" w:pos="420"/>
        </w:tabs>
        <w:ind w:left="420" w:hanging="420"/>
      </w:pPr>
      <w:rPr>
        <w:rFonts w:ascii="Wingdings" w:hAnsi="Wingdings" w:hint="default"/>
      </w:rPr>
    </w:lvl>
    <w:lvl w:ilvl="1" w:tplc="0E3A0C34">
      <w:start w:val="1"/>
      <w:numFmt w:val="bullet"/>
      <w:lvlText w:val=""/>
      <w:lvlJc w:val="left"/>
      <w:pPr>
        <w:tabs>
          <w:tab w:val="num" w:pos="840"/>
        </w:tabs>
        <w:ind w:left="840" w:hanging="420"/>
      </w:pPr>
      <w:rPr>
        <w:rFonts w:ascii="Wingdings" w:hAnsi="Wingdings" w:hint="default"/>
      </w:rPr>
    </w:lvl>
    <w:lvl w:ilvl="2" w:tplc="9BEC36FE">
      <w:start w:val="1"/>
      <w:numFmt w:val="bullet"/>
      <w:lvlText w:val=""/>
      <w:lvlJc w:val="left"/>
      <w:pPr>
        <w:tabs>
          <w:tab w:val="num" w:pos="1260"/>
        </w:tabs>
        <w:ind w:left="1260" w:hanging="420"/>
      </w:pPr>
      <w:rPr>
        <w:rFonts w:ascii="Wingdings" w:hAnsi="Wingdings" w:hint="default"/>
      </w:rPr>
    </w:lvl>
    <w:lvl w:ilvl="3" w:tplc="250CB1F2">
      <w:start w:val="1"/>
      <w:numFmt w:val="bullet"/>
      <w:lvlText w:val=""/>
      <w:lvlJc w:val="left"/>
      <w:pPr>
        <w:tabs>
          <w:tab w:val="num" w:pos="1680"/>
        </w:tabs>
        <w:ind w:left="1680" w:hanging="420"/>
      </w:pPr>
      <w:rPr>
        <w:rFonts w:ascii="Wingdings" w:hAnsi="Wingdings" w:hint="default"/>
      </w:rPr>
    </w:lvl>
    <w:lvl w:ilvl="4" w:tplc="46F82280">
      <w:start w:val="1"/>
      <w:numFmt w:val="bullet"/>
      <w:lvlText w:val=""/>
      <w:lvlJc w:val="left"/>
      <w:pPr>
        <w:tabs>
          <w:tab w:val="num" w:pos="2100"/>
        </w:tabs>
        <w:ind w:left="2100" w:hanging="420"/>
      </w:pPr>
      <w:rPr>
        <w:rFonts w:ascii="Wingdings" w:hAnsi="Wingdings" w:hint="default"/>
      </w:rPr>
    </w:lvl>
    <w:lvl w:ilvl="5" w:tplc="DA9AE6DE">
      <w:start w:val="1"/>
      <w:numFmt w:val="bullet"/>
      <w:lvlText w:val=""/>
      <w:lvlJc w:val="left"/>
      <w:pPr>
        <w:tabs>
          <w:tab w:val="num" w:pos="2520"/>
        </w:tabs>
        <w:ind w:left="2520" w:hanging="420"/>
      </w:pPr>
      <w:rPr>
        <w:rFonts w:ascii="Wingdings" w:hAnsi="Wingdings" w:hint="default"/>
      </w:rPr>
    </w:lvl>
    <w:lvl w:ilvl="6" w:tplc="54E66A7E">
      <w:start w:val="1"/>
      <w:numFmt w:val="bullet"/>
      <w:lvlText w:val=""/>
      <w:lvlJc w:val="left"/>
      <w:pPr>
        <w:tabs>
          <w:tab w:val="num" w:pos="2940"/>
        </w:tabs>
        <w:ind w:left="2940" w:hanging="420"/>
      </w:pPr>
      <w:rPr>
        <w:rFonts w:ascii="Wingdings" w:hAnsi="Wingdings" w:hint="default"/>
      </w:rPr>
    </w:lvl>
    <w:lvl w:ilvl="7" w:tplc="C4B2660E">
      <w:start w:val="1"/>
      <w:numFmt w:val="bullet"/>
      <w:lvlText w:val=""/>
      <w:lvlJc w:val="left"/>
      <w:pPr>
        <w:tabs>
          <w:tab w:val="num" w:pos="3360"/>
        </w:tabs>
        <w:ind w:left="3360" w:hanging="420"/>
      </w:pPr>
      <w:rPr>
        <w:rFonts w:ascii="Wingdings" w:hAnsi="Wingdings" w:hint="default"/>
      </w:rPr>
    </w:lvl>
    <w:lvl w:ilvl="8" w:tplc="BEE85006">
      <w:start w:val="1"/>
      <w:numFmt w:val="bullet"/>
      <w:lvlText w:val=""/>
      <w:lvlJc w:val="left"/>
      <w:pPr>
        <w:tabs>
          <w:tab w:val="num" w:pos="3780"/>
        </w:tabs>
        <w:ind w:left="3780" w:hanging="420"/>
      </w:pPr>
      <w:rPr>
        <w:rFonts w:ascii="Wingdings" w:hAnsi="Wingdings" w:hint="default"/>
      </w:rPr>
    </w:lvl>
  </w:abstractNum>
  <w:abstractNum w:abstractNumId="3">
    <w:nsid w:val="77356F03"/>
    <w:multiLevelType w:val="multilevel"/>
    <w:tmpl w:val="77356F03"/>
    <w:lvl w:ilvl="0">
      <w:start w:val="1"/>
      <w:numFmt w:val="japaneseCounting"/>
      <w:lvlText w:val="%1、"/>
      <w:lvlJc w:val="left"/>
      <w:pPr>
        <w:tabs>
          <w:tab w:val="num" w:pos="1004"/>
        </w:tabs>
        <w:ind w:left="1004" w:hanging="7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3560"/>
    <w:rsid w:val="002C064C"/>
    <w:rsid w:val="004C3560"/>
    <w:rsid w:val="008911F8"/>
    <w:rsid w:val="0096076E"/>
    <w:rsid w:val="00BB0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56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2017-11-30T07:47:00Z</dcterms:created>
  <dcterms:modified xsi:type="dcterms:W3CDTF">2017-11-30T07:52:00Z</dcterms:modified>
</cp:coreProperties>
</file>